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59" w:rsidRDefault="00302859" w:rsidP="00302859">
      <w:pPr>
        <w:ind w:firstLine="360"/>
        <w:jc w:val="both"/>
        <w:rPr>
          <w:sz w:val="24"/>
          <w:szCs w:val="24"/>
        </w:rPr>
      </w:pPr>
      <w:r w:rsidRPr="00933488">
        <w:rPr>
          <w:sz w:val="24"/>
          <w:szCs w:val="24"/>
        </w:rPr>
        <w:t>Całkowicie niedopuszczalnym jest składowanie chemikaliów różnych rodzajów w jednym pomieszczeniu. Wzajemne dopuszczalne sąsiedztwo poszczególnych odczynników jest określone w karcie charakterystyki substancji i musi być przestrzegane ze względów bezpieczeństwa. Aby ten warunek był spełniony należy wydzielić kilka mniejszych, niezależnych pomieszczeń dla poszczególnych rodzajów substancji chemicznych. Uproszczony i ogólny schemat dopuszczalnego sąsiedztwa przedstawia się następująco:</w:t>
      </w:r>
    </w:p>
    <w:p w:rsidR="00302859" w:rsidRPr="00933488" w:rsidRDefault="00302859" w:rsidP="00302859">
      <w:pPr>
        <w:ind w:firstLine="360"/>
        <w:jc w:val="both"/>
        <w:rPr>
          <w:sz w:val="24"/>
          <w:szCs w:val="24"/>
        </w:rPr>
      </w:pPr>
    </w:p>
    <w:p w:rsidR="00302859" w:rsidRDefault="00302859" w:rsidP="00302859">
      <w:r>
        <w:rPr>
          <w:noProof/>
          <w:lang w:eastAsia="pl-PL"/>
        </w:rPr>
        <w:drawing>
          <wp:inline distT="0" distB="0" distL="0" distR="0" wp14:anchorId="657E903A" wp14:editId="436FFA61">
            <wp:extent cx="5534025" cy="2997597"/>
            <wp:effectExtent l="19050" t="0" r="9525" b="0"/>
            <wp:docPr id="1" name="Obraz 1" descr="http://www.atest.com.pl/pictures/2015/1505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est.com.pl/pictures/2015/15052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997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977"/>
        <w:gridCol w:w="2977"/>
      </w:tblGrid>
      <w:tr w:rsidR="00302859" w:rsidTr="00EC38AE">
        <w:tc>
          <w:tcPr>
            <w:tcW w:w="2835" w:type="dxa"/>
            <w:shd w:val="clear" w:color="auto" w:fill="92D050"/>
          </w:tcPr>
          <w:p w:rsidR="00302859" w:rsidRDefault="00302859" w:rsidP="00EC38AE">
            <w:pPr>
              <w:rPr>
                <w:sz w:val="24"/>
                <w:szCs w:val="24"/>
              </w:rPr>
            </w:pPr>
            <w:r w:rsidRPr="00BC1701">
              <w:rPr>
                <w:b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– łączne składowanie dozwolone</w:t>
            </w:r>
          </w:p>
        </w:tc>
        <w:tc>
          <w:tcPr>
            <w:tcW w:w="2977" w:type="dxa"/>
            <w:shd w:val="clear" w:color="auto" w:fill="FFFF00"/>
          </w:tcPr>
          <w:p w:rsidR="00302859" w:rsidRDefault="00302859" w:rsidP="00EC38AE">
            <w:pPr>
              <w:rPr>
                <w:sz w:val="24"/>
                <w:szCs w:val="24"/>
              </w:rPr>
            </w:pPr>
            <w:r w:rsidRPr="00BC1701">
              <w:rPr>
                <w:b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– łączne składowanie dozwolone warunkowo</w:t>
            </w:r>
          </w:p>
        </w:tc>
        <w:tc>
          <w:tcPr>
            <w:tcW w:w="2977" w:type="dxa"/>
            <w:shd w:val="clear" w:color="auto" w:fill="FF0000"/>
          </w:tcPr>
          <w:p w:rsidR="00302859" w:rsidRDefault="00302859" w:rsidP="00EC38AE">
            <w:pPr>
              <w:rPr>
                <w:sz w:val="24"/>
                <w:szCs w:val="24"/>
              </w:rPr>
            </w:pPr>
            <w:r w:rsidRPr="00BC1701">
              <w:rPr>
                <w:b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– łączne składowanie zabronione</w:t>
            </w:r>
          </w:p>
        </w:tc>
      </w:tr>
    </w:tbl>
    <w:p w:rsidR="00302859" w:rsidRDefault="00302859" w:rsidP="00302859">
      <w:pPr>
        <w:rPr>
          <w:sz w:val="24"/>
          <w:szCs w:val="24"/>
        </w:rPr>
      </w:pPr>
    </w:p>
    <w:p w:rsidR="00302859" w:rsidRPr="00933488" w:rsidRDefault="00302859" w:rsidP="00302859">
      <w:pPr>
        <w:rPr>
          <w:sz w:val="24"/>
          <w:szCs w:val="24"/>
          <w:u w:val="single"/>
        </w:rPr>
      </w:pPr>
      <w:r w:rsidRPr="00933488">
        <w:rPr>
          <w:sz w:val="24"/>
          <w:szCs w:val="24"/>
          <w:u w:val="single"/>
        </w:rPr>
        <w:t>Niezależnie od powyższego schematu należy zawsze stosować się do zapisów w karcie charakterystyki substancji.</w:t>
      </w:r>
    </w:p>
    <w:p w:rsidR="00302859" w:rsidRDefault="00302859" w:rsidP="00302859">
      <w:pPr>
        <w:rPr>
          <w:sz w:val="24"/>
          <w:szCs w:val="24"/>
        </w:rPr>
      </w:pPr>
    </w:p>
    <w:p w:rsidR="0085753C" w:rsidRDefault="0085753C">
      <w:bookmarkStart w:id="0" w:name="_GoBack"/>
      <w:bookmarkEnd w:id="0"/>
    </w:p>
    <w:sectPr w:rsidR="00857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59"/>
    <w:rsid w:val="00302859"/>
    <w:rsid w:val="0085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F61DA-39D0-4E03-BD67-B3214C6F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8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2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Domaszewicz</dc:creator>
  <cp:keywords/>
  <dc:description/>
  <cp:lastModifiedBy>Elżbieta Domaszewicz</cp:lastModifiedBy>
  <cp:revision>1</cp:revision>
  <dcterms:created xsi:type="dcterms:W3CDTF">2016-10-19T11:11:00Z</dcterms:created>
  <dcterms:modified xsi:type="dcterms:W3CDTF">2016-10-19T11:12:00Z</dcterms:modified>
</cp:coreProperties>
</file>